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5A" w:rsidRDefault="00C02F5A" w:rsidP="00C02F5A">
      <w:pPr>
        <w:numPr>
          <w:ilvl w:val="0"/>
          <w:numId w:val="31"/>
        </w:numPr>
        <w:shd w:val="clear" w:color="auto" w:fill="EEEEEE"/>
        <w:spacing w:before="63" w:after="63" w:line="240" w:lineRule="auto"/>
        <w:ind w:left="0" w:firstLine="25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  <w:t>в) административные регламенты, стандарты муниципальных услуг;</w:t>
      </w:r>
    </w:p>
    <w:p w:rsidR="00C02F5A" w:rsidRDefault="00C02F5A" w:rsidP="00C02F5A">
      <w:pPr>
        <w:numPr>
          <w:ilvl w:val="0"/>
          <w:numId w:val="31"/>
        </w:numPr>
        <w:shd w:val="clear" w:color="auto" w:fill="EEEEEE"/>
        <w:spacing w:before="63" w:after="63" w:line="240" w:lineRule="auto"/>
        <w:ind w:left="0" w:firstLine="25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порядок обжалования муниципальных правовых актов.</w:t>
      </w:r>
    </w:p>
    <w:p w:rsidR="00C02F5A" w:rsidRDefault="00C02F5A" w:rsidP="00C02F5A">
      <w:pPr>
        <w:shd w:val="clear" w:color="auto" w:fill="EEEEEE"/>
        <w:spacing w:after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pict>
          <v:rect id="_x0000_i1025" style="width:239.05pt;height:1.5pt" o:hrpct="0" o:hralign="center" o:hrstd="t" o:hr="t" fillcolor="#a0a0a0" stroked="f"/>
        </w:pict>
      </w:r>
    </w:p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30"/>
        <w:gridCol w:w="4354"/>
      </w:tblGrid>
      <w:tr w:rsidR="00C02F5A" w:rsidTr="00C02F5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02F5A" w:rsidRDefault="00C02F5A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hyperlink r:id="rId5" w:history="1">
              <w:r>
                <w:rPr>
                  <w:rStyle w:val="a3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&lt;&lt; Назад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02F5A" w:rsidRDefault="00C02F5A">
            <w:pPr>
              <w:jc w:val="right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noProof/>
                <w:color w:val="33A6E3"/>
                <w:sz w:val="15"/>
                <w:szCs w:val="15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6" name="Рисунок 6" descr="Версия для печати">
                    <a:hlinkClick xmlns:a="http://schemas.openxmlformats.org/drawingml/2006/main" r:id="rId6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ерсия для печати">
                            <a:hlinkClick r:id="rId6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F5A" w:rsidTr="00C02F5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02F5A" w:rsidRDefault="00C02F5A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2F5A" w:rsidRDefault="00C02F5A">
            <w:pPr>
              <w:rPr>
                <w:sz w:val="20"/>
                <w:szCs w:val="20"/>
              </w:rPr>
            </w:pPr>
          </w:p>
        </w:tc>
      </w:tr>
    </w:tbl>
    <w:p w:rsidR="00C02F5A" w:rsidRDefault="00C02F5A" w:rsidP="00C02F5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РЕШЕНИЕ от «___» ______ 2022 года п. Первоавгустовский №__ Об утверждении местных нормативов градостроительного проектирования Первоавгустовского сельсовета Дмитриевского района Курской области»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ПРОЕКТ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СОБРАНИЕ ДЕПУТАТОВ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ПЕРВОАВГУСТОВСКОГО СЕЛЬСОВЕТА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ДМИТРИЕВСКОГО РАЙОНА КУРСКОЙ ОБЛАСТИ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РЕШЕНИЕ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«___» ______ 2022 года           п. Первоавгустовский                           №__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местных нормативов градостроительного проектирования Первоавгустовского сельсовета Дмитриевского района Курской области»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целях устойчивого развития территории муниципального образования «Первоавгустовский сельсовет» Дмитриевского района Курской области, руководствуясь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Федерации, Уставом муниципального образования «Первоавгустовский сельсовет» Дмитриевского района Курской области Собрание депутатов Первоавгустовского сельсовета Дмитриевского района Курской области РЕШИЛО: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 местные нормативы градостроительного проектирования Первоавгустовского сельсовета Дмитриевского района Курской области: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1.1. Основная часть. Правила и область применения (Приложение 1).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1.2. Материалы по обоснованию расчетных показателей, содержащихся в основной части нормативов градостроительного проектирования (Приложение 2).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Настоящее решение вступает в силу со дня его официального опубликования на официальном сайте Администрации Первоавгустовского сельсовета Дмитриевского района Курской области.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Председатель Собрания депутатов   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Первоавгустовского сельсовета                                                Т.Н. Чекрыгина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Первоавгустовского сельсовета                                             А.В. Бушин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МЕСТНЫЕ НОРМАТИВЫ ГРАДОСТРОИТЕЛЬНОГО ПРОЕКТИРОВАНИЯ ПЕРВОАВГУСТОВСКОГО СЕЛЬСОВЕТА ДМИТРИЕВСКОГО РАЙОНА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КУРСКОЙ ОБЛАСТИ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НОРМАТИВЫ ГРАДОСТРОИТЕЛЬНОГО ПРОЕКТИРОВАНИЯ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2022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СОДЕРЖАНИЕ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6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4"/>
        <w:gridCol w:w="1518"/>
      </w:tblGrid>
      <w:tr w:rsidR="00C02F5A" w:rsidTr="00C02F5A">
        <w:trPr>
          <w:tblCellSpacing w:w="0" w:type="dxa"/>
        </w:trPr>
        <w:tc>
          <w:tcPr>
            <w:tcW w:w="8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Примечание</w:t>
            </w:r>
          </w:p>
        </w:tc>
      </w:tr>
      <w:tr w:rsidR="00C02F5A" w:rsidTr="00C02F5A">
        <w:trPr>
          <w:tblCellSpacing w:w="0" w:type="dxa"/>
        </w:trPr>
        <w:tc>
          <w:tcPr>
            <w:tcW w:w="8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C02F5A" w:rsidTr="00C02F5A">
        <w:trPr>
          <w:tblCellSpacing w:w="0" w:type="dxa"/>
        </w:trPr>
        <w:tc>
          <w:tcPr>
            <w:tcW w:w="8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ОСНОВНАЯ ЧАСТЬ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C02F5A" w:rsidTr="00C02F5A">
        <w:trPr>
          <w:tblCellSpacing w:w="0" w:type="dxa"/>
        </w:trPr>
        <w:tc>
          <w:tcPr>
            <w:tcW w:w="8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Общие положения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C02F5A" w:rsidTr="00C02F5A">
        <w:trPr>
          <w:tblCellSpacing w:w="0" w:type="dxa"/>
        </w:trPr>
        <w:tc>
          <w:tcPr>
            <w:tcW w:w="8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 Расположение и природно-климатические условия Первоавгустовского сельсовета Дмитриевского района Курской области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C02F5A" w:rsidTr="00C02F5A">
        <w:trPr>
          <w:tblCellSpacing w:w="0" w:type="dxa"/>
        </w:trPr>
        <w:tc>
          <w:tcPr>
            <w:tcW w:w="8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 Социально-демографический состав и плотность населения на территории Первоавгустовского сельсовета Дмитриевского района Курской области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C02F5A" w:rsidTr="00C02F5A">
        <w:trPr>
          <w:tblCellSpacing w:w="0" w:type="dxa"/>
        </w:trPr>
        <w:tc>
          <w:tcPr>
            <w:tcW w:w="8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</w:tr>
      <w:tr w:rsidR="00C02F5A" w:rsidTr="00C02F5A">
        <w:trPr>
          <w:tblCellSpacing w:w="0" w:type="dxa"/>
        </w:trPr>
        <w:tc>
          <w:tcPr>
            <w:tcW w:w="8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2.1.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</w:tr>
      <w:tr w:rsidR="00C02F5A" w:rsidTr="00C02F5A">
        <w:trPr>
          <w:tblCellSpacing w:w="0" w:type="dxa"/>
        </w:trPr>
        <w:tc>
          <w:tcPr>
            <w:tcW w:w="8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</w:tr>
      <w:tr w:rsidR="00C02F5A" w:rsidTr="00C02F5A">
        <w:trPr>
          <w:tblCellSpacing w:w="0" w:type="dxa"/>
        </w:trPr>
        <w:tc>
          <w:tcPr>
            <w:tcW w:w="8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</w:tr>
      <w:tr w:rsidR="00C02F5A" w:rsidTr="00C02F5A">
        <w:trPr>
          <w:tblCellSpacing w:w="0" w:type="dxa"/>
        </w:trPr>
        <w:tc>
          <w:tcPr>
            <w:tcW w:w="8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«ПЕРВОАВГУСТОВСКИЙ СЕЛЬСОВЕТ» ДМИТРИЕВСКОГО РАЙОНА КУРСКОЙ ОБЛАСТИ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</w:tr>
      <w:tr w:rsidR="00C02F5A" w:rsidTr="00C02F5A">
        <w:trPr>
          <w:tblCellSpacing w:w="0" w:type="dxa"/>
        </w:trPr>
        <w:tc>
          <w:tcPr>
            <w:tcW w:w="8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III. ПРАВИЛА И ОБЛАСТЬ ПРИМЕНЕНИЯ РАСЧЕТНЫХ ПОКАЗАТЕЛЕЙ, СОДЕРЖАЩИХСЯ В ОСНОВНОЙ ЧАСТИ МЕСТНЫХ НОРМАТИВОВ ГРАДОСТРОИТЕЛЬНОГО ПРОЕКТИРОВАНИЯ МУНИЦИПАЛЬНОГО ОБРАЗОВАНИЯ «ПЕРВОАВГУСТОВСКИЙ СЕЛЬСОВЕТ» ДМИТРИЕВСКОГО РАЙОНА КУРСКОЙ ОБЛАСТИ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</w:tr>
      <w:tr w:rsidR="00C02F5A" w:rsidTr="00C02F5A">
        <w:trPr>
          <w:tblCellSpacing w:w="0" w:type="dxa"/>
        </w:trPr>
        <w:tc>
          <w:tcPr>
            <w:tcW w:w="8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</w:tr>
    </w:tbl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I. ОСНОВНАЯ ЧАСТЬ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1. Общие положения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Местные нормативы градостроительного проектирования муниципального образования «Первоавгустовский сельсовет» Дмитриевского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«Первоавгустовский сельсовет» Дмитриевского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292 Градостроительного кодекса Российской Федерации.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Местные нормативы градостроительного проектирования Первоавгустовского сельсовета Дмитриевского района Курской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года №76-ЗКО «О градостроительной деятельности в Курской области», населения Первоавгустовского сельсовета Дмитриевского района Курской области и расчетные показатели максимально допустимого уровня территориальной доступности таких объектов для населения Первоавгустовского сельсовета Дмитриевского района Курской области.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а) электро-, тепло-, газо- и водоснабжение населения, водоотведение;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б) автомобильные дороги местного значения;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г) иные области в связи с решением вопросов местного значения поселения.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Законом Курской области от 31.10.2006 года №76-ЗКО «О градостроительной деятельности в Курской области» статья 16 установлены объекты местного значения для поселения.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объектам местного значения, подлежащим отображению на генеральном плане поселения, относятся: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в области электро-, тепло-, газо- и водоснабжения населения, водоотведения: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автомобильные дороги местного значения, расположенные в границах муниципального образования;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в области культуры, физической культуры и спорта: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объекты культуры, досуга, спорта, находящиеся в собственности муниципального образования;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в области образования: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в области обработки, утилизации, обезвреживания, размещения отходов производства и потребления: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1.1. Расположение и природно-климатические условия Первоавгустовского сельсовета Дмитриевского района Курской области. Расположение в системе расселения и административно-территориальное устройство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Рис.1. Границы муниципального образования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«Первоавгустовский сельсовет» Дмитриевского района Курской области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Населенные пункты Первоавгустовского сельсовета Дмитриевского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2366"/>
        <w:gridCol w:w="1439"/>
        <w:gridCol w:w="2675"/>
        <w:gridCol w:w="995"/>
      </w:tblGrid>
      <w:tr w:rsidR="00C02F5A" w:rsidTr="00C02F5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Удаленность (км)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Число дворов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 районного центра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Первоавгустовский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662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 Неварь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 Бычки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 Черневка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Пристанционный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Лесной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Чуриловский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 Богославка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 Кубань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п.Партизанский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 Кошкино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 Г- Кузнецовка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Мелгора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Чемерки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Лобановский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Зажелезнодорожный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 Гладкое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Восточный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Первомайский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Решетино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1005</w:t>
            </w:r>
          </w:p>
        </w:tc>
      </w:tr>
    </w:tbl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Природно-климатические условия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Территория Первоавгустовского сельсовета Дмитриевского района Курской области расположена в северной части Дмитриевского района Курской области. Рельеф предоставляет собой волнистую равнину, пересеченную по всем направлениям многочисленными глубокими оврагами.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схематической карте климатического районирования для строительства территории России Первоавгустовский сельсовет Дмитриевского района Курской области приурочен к району II, подрайону II В.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Климат Первоавгустовского сельсовета умеренно 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Гидрографическая сеть сельсовета представлена следующими реками: р.Осмонька, а так же мелкие ручьи. Все реки относятся к бассейну реки Дон.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Господствующая роза ветров – летом «западные», «юго-западные», зимой - «северо-западные» «юго-восточные».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Зимой снежный покров достигает 15-30 см, промерзание грунта 30-60 см, средняя температура днем –5○С, -9○С, ночью до -12○С, морозы до – 23○С, –24○С, абсолютный минимум до -35○С.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Летом характерны кратковременные ливни, иногда с градом и шквалистым ветром, средняя температура днем +19○С, +20○С, ночью до +14○С,+16○С, абсолютный максимум +37○С.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Территория Первоавгустовского сельсовета Дмитриевского района Курской области не является сейсмоактивной, не подвержена явлениям карста и суффозии.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1.2. Социально-демографический состав и плотность населения на территории Первоавгустовского сельсовета Дмитриевского района Курской области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Общая численность населения, проживающего на сегодняшний день в Первоавгустовском сельсовете, составляет 1626 человек. Средний состав семьи – 2,3 человека.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Динамика численности населения приведена в таблице 2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2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Динамика численность населения муниципального образования «Первоавгустовский сельсовет» Дмитриевского района Курской области в разрезе населённых пунктов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78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7"/>
        <w:gridCol w:w="2537"/>
        <w:gridCol w:w="1275"/>
        <w:gridCol w:w="1275"/>
        <w:gridCol w:w="1095"/>
        <w:gridCol w:w="1110"/>
      </w:tblGrid>
      <w:tr w:rsidR="00C02F5A" w:rsidTr="00C02F5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населенного пункта</w:t>
            </w:r>
          </w:p>
        </w:tc>
        <w:tc>
          <w:tcPr>
            <w:tcW w:w="47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Численность населения (чел.)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1991 год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2001 год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2011 год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 год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Первоавгустовский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 Неварь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 Бычки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 Черневка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Пристанционный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Лесной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Чуриловский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 Богославка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 Кубань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п.Партизанский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 Кошкино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 Г- Кузнецовка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Мелгора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Чемерки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Лобановский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Зажелезнодорожный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 Гладкое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Восточный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Первомайский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Решетино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C02F5A" w:rsidTr="00C02F5A">
        <w:trPr>
          <w:tblCellSpacing w:w="0" w:type="dxa"/>
        </w:trPr>
        <w:tc>
          <w:tcPr>
            <w:tcW w:w="46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3058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2622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1626</w:t>
            </w:r>
          </w:p>
        </w:tc>
      </w:tr>
    </w:tbl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последние годы в сельсовете фиксируется стабильная естественная убыль населения. В целом динамика процессов естественного движения населения аналогична общероссийским показателям.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снижение уровня рождаемости влияет ряд факторов, важнейшими из которых являются: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нестабильность экономики;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социально-бытовые условия.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протяжении последних лет (с 2002 года) в сельсовете наблюдался незначительный миграционный отток населения, что объясняется спадом в экономике (недостаточном количестве мест приложения труда с адекватной заработной платой). Значимым фактором является наличие автомобильных дорог регионального значения и в непосредственной близости железной дороги, что существенно упрощает возможность сначала временных трудовых миграций (в областной центр, соседние области и Москву), а затем и переезд на постоянное место жительства.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образования Дмитриевского района в муниципальное образование «Первоавгустовский сельсовет» Дмитриевского района Курской области.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Ключевые факторы привлечения трудовой миграции – увеличение промышленного производства основных предприятий и, как следствие, рост числа рабочих мест в экономике, повышение уровня доходов населения, доступность жилья и других социальных услуг.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 последние годы произошло изменение возрастной структуры в сторону увеличения населения пенсионного возраста.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Проектные предложения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Анализ современной ситуации выявил основные направления демографических процессов в Первоавгустовском сельсовете: падение численности населения за счет отрицательного сальдо естественного движения и миграционного оттока.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Современные демографические характеристики позволяют сделать прогноз изменения численности на перспективу.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Оценка перспективного изменения численности населения в достаточно широком временном диапазоне (до 2041 г.) требует построения двух вариантов прогноза (условно «инерционный» и «инновационный»). Они необходимы в условиях поливариантности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2025 год (первая очередь генерального плана) и 2041 год (расчетный срок).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«Инерционный» сценарий прогноза предполагает сохранение сложившихся условий смертности, рождаемости и миграции.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«Инновационный» сценарий основан на росте численности населения за счёт повышения уровня рождаемости, снижения смертности, миграционного оттока населения.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тенденций перспективного расчета численности населения Российской Федерации до 2040 года.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Численность населения рассчитывается согласно существующей методике по формуле: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</w:t>
      </w:r>
      <w:r>
        <w:rPr>
          <w:rFonts w:ascii="Tahoma" w:hAnsi="Tahoma" w:cs="Tahoma"/>
          <w:color w:val="000000"/>
          <w:sz w:val="15"/>
          <w:szCs w:val="15"/>
          <w:vertAlign w:val="subscript"/>
        </w:rPr>
        <w:t>о</w:t>
      </w:r>
      <w:r>
        <w:rPr>
          <w:rFonts w:ascii="Tahoma" w:hAnsi="Tahoma" w:cs="Tahoma"/>
          <w:color w:val="000000"/>
          <w:sz w:val="15"/>
          <w:szCs w:val="15"/>
        </w:rPr>
        <w:t> = Н</w:t>
      </w:r>
      <w:r>
        <w:rPr>
          <w:rFonts w:ascii="Tahoma" w:hAnsi="Tahoma" w:cs="Tahoma"/>
          <w:color w:val="000000"/>
          <w:sz w:val="15"/>
          <w:szCs w:val="15"/>
          <w:vertAlign w:val="subscript"/>
        </w:rPr>
        <w:t>с</w:t>
      </w:r>
      <w:r>
        <w:rPr>
          <w:rFonts w:ascii="Tahoma" w:hAnsi="Tahoma" w:cs="Tahoma"/>
          <w:color w:val="000000"/>
          <w:sz w:val="15"/>
          <w:szCs w:val="15"/>
        </w:rPr>
        <w:t>(1 + (Р+М)/100)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Т</w:t>
      </w:r>
      <w:r>
        <w:rPr>
          <w:rFonts w:ascii="Tahoma" w:hAnsi="Tahoma" w:cs="Tahoma"/>
          <w:color w:val="000000"/>
          <w:sz w:val="15"/>
          <w:szCs w:val="15"/>
        </w:rPr>
        <w:t>,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где Н</w:t>
      </w:r>
      <w:r>
        <w:rPr>
          <w:rFonts w:ascii="Tahoma" w:hAnsi="Tahoma" w:cs="Tahoma"/>
          <w:color w:val="000000"/>
          <w:sz w:val="15"/>
          <w:szCs w:val="15"/>
          <w:vertAlign w:val="subscript"/>
        </w:rPr>
        <w:t>о</w:t>
      </w:r>
      <w:r>
        <w:rPr>
          <w:rFonts w:ascii="Tahoma" w:hAnsi="Tahoma" w:cs="Tahoma"/>
          <w:color w:val="000000"/>
          <w:sz w:val="15"/>
          <w:szCs w:val="15"/>
        </w:rPr>
        <w:t> – ожидаемая численность населения на расчетный год,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</w:t>
      </w:r>
      <w:r>
        <w:rPr>
          <w:rFonts w:ascii="Tahoma" w:hAnsi="Tahoma" w:cs="Tahoma"/>
          <w:color w:val="000000"/>
          <w:sz w:val="15"/>
          <w:szCs w:val="15"/>
          <w:vertAlign w:val="subscript"/>
        </w:rPr>
        <w:t>с</w:t>
      </w:r>
      <w:r>
        <w:rPr>
          <w:rFonts w:ascii="Tahoma" w:hAnsi="Tahoma" w:cs="Tahoma"/>
          <w:color w:val="000000"/>
          <w:sz w:val="15"/>
          <w:szCs w:val="15"/>
        </w:rPr>
        <w:t> – существующая численность населения,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 – среднегодовой естественный прирост,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 – среднегодовая миграция,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 – число лет расчетного срока.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Далее приведен расчет инерционного и инновационного прогноза численности населения.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3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Данные для расчета ожидаемой численности населения и результаты этого расчета (инерционный сценарий развития)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3692"/>
        <w:gridCol w:w="712"/>
      </w:tblGrid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Значение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Численность населения на момент проектирования, чел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1626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Среднегодовой естественный прирост населения, 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-0,80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Среднегодовая миграция, 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-0,60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 первой очереди, лет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лет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Расчетный срок, лет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лет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Ожидаемая численность населения в 2026 году, чел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1515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Ожидаемая численность населения в 2041 году, чел.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1226</w:t>
            </w:r>
          </w:p>
        </w:tc>
      </w:tr>
    </w:tbl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Инерционный сценарий прогноза показывает, что в соответствии с современными тенденциями численность населения продолжит снижаться. За следующие 5 лет сокращение численности составит 111 человек или 6,8%. В 2041 году число жителей поселка достигнет значения 1226 человек (-24,6% к уровню 2021 года).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(и соответственно в регионе) и постепенный выход из кризисного состояния.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 численности населения по инновационному сценарию развития представлен в таблице 4.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4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Данные для расчета ожидаемой численности населения и результаты этого расчета (инновационный сценарий развития)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3692"/>
        <w:gridCol w:w="712"/>
      </w:tblGrid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Значение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Численность населения на момент проектирования, чел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1626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Среднегодовой естественный прирост населения, 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-0,50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Среднегодовая миграция, 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-0,20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 первой очереди, лет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лет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Расчетный срок, лет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лет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Ожидаемая численность населения в 2026 году, чел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Ожидаемая численность населения в 2041 году, чел.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1413</w:t>
            </w:r>
          </w:p>
        </w:tc>
      </w:tr>
    </w:tbl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инновационном сценарии число жителей также будет снижаться, хотя и меньшими темпами. К 2026 году численность населения сократится на 56 человек или на 3,44%, к 2041 году сокращение численности населения к уровню 2021 года составит 213 человек или 13,10%.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инновационном сценарии число жителей будет незначительно уменьшаться.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дальнейших расчетов в генеральном плане численность населения принимается по инновационному сценарию, согласно которому число жителей Первоавгустовского сельсовета к 2041 году снизится до 1413 человек. На 1 очередь (2026 г.), принимая во внимание существующее положение, численность населения составит 1570 человек.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Если меры по демографической политике относятся в первую очередь к компетенции федеральных и региональных органов, то миграционная политика напрямую зависит и от районных властей. Для Первоавгустовского сельсовета важнейшим мероприятием является удержание трудоспособного и молодого населения на своей территории, а для этого необходимо: создание новых оплачиваемых рабочих мест, а также привлечение мигрантов, иначе реализация инновационного сценария будет не возможна.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Перспективы демографического развития будут определяться: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улучшением жилищных условий;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обеспечения занятости населения.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улучшением инженерно-транспортной инфраструктуры.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совершенствованием социальной и культурно-бытовой инфраструктуры;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созданием более комфортной и экологически чистой среды;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созданием механизма социальной защищённости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 приведены в таблице 5.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5</w:t>
      </w:r>
    </w:p>
    <w:tbl>
      <w:tblPr>
        <w:tblW w:w="8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9"/>
        <w:gridCol w:w="2046"/>
        <w:gridCol w:w="1522"/>
        <w:gridCol w:w="1482"/>
        <w:gridCol w:w="1426"/>
      </w:tblGrid>
      <w:tr w:rsidR="00C02F5A" w:rsidTr="00C02F5A">
        <w:trPr>
          <w:tblCellSpacing w:w="0" w:type="dxa"/>
        </w:trPr>
        <w:tc>
          <w:tcPr>
            <w:tcW w:w="22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Наименование, вид объекта</w:t>
            </w:r>
          </w:p>
        </w:tc>
        <w:tc>
          <w:tcPr>
            <w:tcW w:w="4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Минисмально допустимый уровень обеспеченности</w:t>
            </w:r>
          </w:p>
        </w:tc>
        <w:tc>
          <w:tcPr>
            <w:tcW w:w="3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Максимально допустимый уровень территориальной доступности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Единица измерения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Величина по группам урбанизации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Величина по группам урбанизации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C02F5A" w:rsidTr="00C02F5A">
        <w:trPr>
          <w:tblCellSpacing w:w="0" w:type="dxa"/>
        </w:trPr>
        <w:tc>
          <w:tcPr>
            <w:tcW w:w="100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Электро-, тепло-, газо- и водоснабжение населения, водоотведение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электроснабжения сельского поселения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электроснабжения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электропотребления, кВт ч/год на 1 чел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теплоснабжения сельского поселения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теплоснабжения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теплопотребления,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МДж/год на 1 чел.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1512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водоснабжения сельского поселения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водоснабжения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водопотребления,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 в сутки на 1 чел.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89,1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водоотведения сельского поселения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водоотведения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водоотведения,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 в сутки на 1 чел.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89,1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100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Автомобильные дороги местного значения и транспортное обслуживание населения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автомобильных дорог сельского поселения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Улично-дорожная сеть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Плотность сети,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км/ км</w:t>
            </w:r>
            <w:r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Велосипедные и велопешеходные дорожки</w:t>
            </w:r>
          </w:p>
        </w:tc>
        <w:tc>
          <w:tcPr>
            <w:tcW w:w="78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(см. примечание 1)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транспортного обслуживания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населения сельского поселения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Остановочный пункт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объектов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населенный пункт независимо от количества жителей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мин.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</w:tr>
      <w:tr w:rsidR="00C02F5A" w:rsidTr="00C02F5A">
        <w:trPr>
          <w:tblCellSpacing w:w="0" w:type="dxa"/>
        </w:trPr>
        <w:tc>
          <w:tcPr>
            <w:tcW w:w="100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Физическая культура и массовый спорт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объектов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Населенный пункт с численностью населением менее 100 человек – не нормируется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каждые 1000 человек населения населенного пункта но не менее 1 объекта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</w:tr>
      <w:tr w:rsidR="00C02F5A" w:rsidTr="00C02F5A">
        <w:trPr>
          <w:tblCellSpacing w:w="0" w:type="dxa"/>
        </w:trPr>
        <w:tc>
          <w:tcPr>
            <w:tcW w:w="100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Ритуальные услуги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обслуживания сельского поселения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Кладбище традиционного захоронения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Площадь территории, га на 1000 человек численности населения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0,24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Примечание: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Расчетные показатели для проектирования велосипедных дорожек.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 2019 года № Пр-2397, обеспечить население велосипедными дорожками и полосами для велосипедистов.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6.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0"/>
        <w:gridCol w:w="1275"/>
        <w:gridCol w:w="855"/>
        <w:gridCol w:w="855"/>
        <w:gridCol w:w="855"/>
        <w:gridCol w:w="870"/>
      </w:tblGrid>
      <w:tr w:rsidR="00C02F5A" w:rsidTr="00C02F5A">
        <w:trPr>
          <w:tblCellSpacing w:w="0" w:type="dxa"/>
        </w:trPr>
        <w:tc>
          <w:tcPr>
            <w:tcW w:w="4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 400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1200</w:t>
            </w:r>
          </w:p>
        </w:tc>
      </w:tr>
      <w:tr w:rsidR="00C02F5A" w:rsidTr="00C02F5A">
        <w:trPr>
          <w:tblCellSpacing w:w="0" w:type="dxa"/>
        </w:trPr>
        <w:tc>
          <w:tcPr>
            <w:tcW w:w="4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Расчетная интенсивность движения велосипедистов, вел./ч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</w:tr>
    </w:tbl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7.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3"/>
        <w:gridCol w:w="6281"/>
        <w:gridCol w:w="1734"/>
        <w:gridCol w:w="1601"/>
      </w:tblGrid>
      <w:tr w:rsidR="00C02F5A" w:rsidTr="00C02F5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Нормируемый параметр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Минимальные значения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новом строительстве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стесненных условиях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Расчетная скорость движения, км/ч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Ширина проезжей части для движения, м, не менее: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однополосного одностороннего двухполосного одностороннего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двухполосного со встречным движением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1,0-1,5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1,75-2,5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2,50-3,6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0,75-1,0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1,50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Ширина велосипедной и пешеходной дорожки с разделением движения дорожной разметкой, м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Ширина велопешеходной дорожки, м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Ширина полосы для велосипедистов, 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1,5-6,0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1,5-3,0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1,5-3,25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1,5-2,0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Ширина обочин велосипедной дорожки, 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Наименьший радиус кривых в плане, м: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отсутствии виража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устройстве виража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30-50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</w:tbl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2.1. Иные объекты, территории, которые необходимы для осуществления органами местного самоуправления полномочий по вопросам местного значения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Требования к функционально-планировочной организации территорий жилой застройки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а) малоэтажная жилая застройка: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индивидуальная усадебная застройка одноквартирными жилыми домами высотой до 3 этажей включительно;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застройка блокированными жилыми домами высотой до 3 этажей включительно;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застройка многоквартирными жилыми домами высотой 3-4 этажа включительно;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б) среднеэтажная жилая застройка - застройка многоквартирными жилыми домами высотой от 5 до 8 этажей включительно;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в) многоэтажная жилая застройка: – застройка многоквартирными жилыми домами высотой от 9 до 16 этажей и выше.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Основными элементами планировочной структуры являются районы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На территории жилого района жилая застройка может быть сформирована в виде: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жилых микрорайонов;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жилых микрорайонов и жилых групп;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жилых микрорайонов, жилых групп и участков жилой застройки.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состав территории жилого района должны входить: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участки жилой застройки;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участки общественно-деловой застройки, в том числе участки объектов социальной инфраструктуры;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территории жилого района должны быть размещены: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сеть улиц районного, местного значения, проездов, обеспечивающая транспортное обслуживание территории и населения района;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 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места хранения легковых автомобилей жителей;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- 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велосипедные дорожки.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территории жилого района не допускается: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размещение улиц и дорог межрайонного и городского значения;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размещение наземных линейных объектов скоростного внеуличного и внешнего транспорта.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состав территории жилого микрорайона должны входить: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участки жилой застройки;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участки объектов социальной инфраструктуры;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участки рекреационных территорий;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улицы местного значения, проезды.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территории жилого микрорайона должны быть размещены: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объекты социальной инфраструктуры: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места хранения легковых автомобилей жителей;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пешеходные коммуникации для обеспечения передвижения населения по территории жилого микрорайона;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открытые спортплощадки;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велосипедные дорожки.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территории жилого микрорайона допускается размещение: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участков физкультурно-оздоровительных комплексов, поликлиник;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участке многоквартирного жилого дома должны быть организованы: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пешеходные коммуникации для обеспечения подходов к входным группам жилого здания и передвижения по территории участка;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места парковки легковых автомобилей жителей и посетителей жилого здания;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места для сортировки твердых коммунальных отходов и размещения контейнеров для сбора мусора.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В границах населенного пункта должна быть обеспечена стопроцентная обеспеченность машино-местами при условии транспортной доступности не более 15 минут.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Открытые стоянки для временного хранения легковых автомобилей населения следует предусматривать в границах жилого района из расчета не менее 25 % от уровня автомобилизации.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Количество машино-мест для легковых автомобилей населения при проектировании жилой застройки следует определять исходя из нормы: 1 машино-место на 93 м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 общей площади квартир (определено исходя из общей площадь жилых помещений, приходящихся в среднем на одного жителя Курской области – 31,0 м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 (статистические данные за 2019 год) и уровня автомобилизации на 1 человека – 0,33 машино-места).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Количество машино-мест для хранения легковых автомобилей населения, в том числе гостевых парковок, в границах земельного участка должно составлять не менее 40 % от расчетного количества.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Стоянки для хранения легковых автомобилей населения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территорий, в отношении которых отсутствует утвержденная документация по планировке территории, места для хранения легковых автомобилей населения должны быть предусмотрены в границах земельного участка многоквартирного жилого дома и (или) смежного земельного участка из расчета не менее 1 машино-место на 93 м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 общей площади квартир, в том числе подземные, встроенные или встроенно-пристроенные к жилым домам.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Минимально допустимые размеры площадок различного функционального назначения приведены в таблице 8.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8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Минимально допустимые размеры площадок различного функционального назначения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3783"/>
        <w:gridCol w:w="3425"/>
        <w:gridCol w:w="3384"/>
        <w:gridCol w:w="3608"/>
      </w:tblGrid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Площадки, размещаемые на территории жилой застройки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Минимальный расчетный размер площадки,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/чел.</w:t>
            </w:r>
            <w:hyperlink r:id="rId8" w:anchor="_ftn1" w:history="1">
              <w:r>
                <w:rPr>
                  <w:rStyle w:val="a3"/>
                  <w:color w:val="33A6E3"/>
                  <w:sz w:val="15"/>
                  <w:szCs w:val="15"/>
                  <w:u w:val="none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Минимально допустимый размер одной площадки, м</w:t>
            </w:r>
            <w:r>
              <w:rPr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Расстояние от границы площадки до окон жилого дома, м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Для игр детей дошкольного и младшего школьного возраста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Для отдыха взрослого населения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Для занятий физкультурой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hyperlink r:id="rId9" w:anchor="_ftn2" w:history="1">
              <w:r>
                <w:rPr>
                  <w:rStyle w:val="a3"/>
                  <w:color w:val="33A6E3"/>
                  <w:sz w:val="15"/>
                  <w:szCs w:val="15"/>
                  <w:u w:val="none"/>
                </w:rPr>
                <w:t>[2]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– 40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Для хозяйственных целей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Для выгула собак (для комплексной застройки территории)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</w:tbl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2.2. Размещение коллективных подземных хранилищ сельскохозяйственных продуктов в жилых зонах поселений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Минимально допустимая площадь озелененных территорий общего пользования в границах муниципальных образований приведена в таблице 9.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1"/>
        <w:gridCol w:w="2113"/>
        <w:gridCol w:w="349"/>
        <w:gridCol w:w="316"/>
        <w:gridCol w:w="337"/>
      </w:tblGrid>
      <w:tr w:rsidR="00C02F5A" w:rsidTr="00C02F5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Озелененные территории общего пользования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Расчетные показатели по уровню урбанизации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Жилых районов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на 1 чел.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</w:tbl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«ПЕРВОАВГУСТОВСКИЙ СЕЛЬСОВЕТ» ДМИТРИЕВСКОГО РАЙОНА КУРСКОЙ ОБЛАСТИ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«Первоавгустовский сельсовет» Дмитриевского района 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муниципальных образований Курской области в части формирования объектов местного значения.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«Первоавгустовский сельсовет» Дмитриевского района Курской области приведены в таблице 10.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10</w:t>
      </w:r>
    </w:p>
    <w:tbl>
      <w:tblPr>
        <w:tblW w:w="8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3"/>
        <w:gridCol w:w="5852"/>
      </w:tblGrid>
      <w:tr w:rsidR="00C02F5A" w:rsidTr="00C02F5A">
        <w:trPr>
          <w:tblHeader/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Наименование, вид объекта</w:t>
            </w:r>
          </w:p>
        </w:tc>
        <w:tc>
          <w:tcPr>
            <w:tcW w:w="7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Сельское поселение</w:t>
            </w:r>
          </w:p>
        </w:tc>
      </w:tr>
      <w:tr w:rsidR="00C02F5A" w:rsidTr="00C02F5A">
        <w:trPr>
          <w:tblHeader/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1</w:t>
            </w:r>
          </w:p>
        </w:tc>
        <w:tc>
          <w:tcPr>
            <w:tcW w:w="7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2</w:t>
            </w:r>
          </w:p>
        </w:tc>
      </w:tr>
      <w:tr w:rsidR="00C02F5A" w:rsidTr="00C02F5A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электроснабжения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электроснабжения</w:t>
            </w:r>
          </w:p>
        </w:tc>
        <w:tc>
          <w:tcPr>
            <w:tcW w:w="7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по группе «Б» получаем по формуле: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 кВт ч/год на 1 чел. х К,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где: К - коэффициент урбанизации муниципального образования.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C02F5A" w:rsidTr="00C02F5A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теплоснабжения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теплоснабжения</w:t>
            </w:r>
          </w:p>
        </w:tc>
        <w:tc>
          <w:tcPr>
            <w:tcW w:w="7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№32). Приложение А.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по группе «Б» получаем по формуле: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1680 МДж/год на 1 чел. х К,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где: К - коэффициент урбанизации муниципального образования.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C02F5A" w:rsidTr="00C02F5A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водоснабжения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водоснабжения</w:t>
            </w:r>
          </w:p>
        </w:tc>
        <w:tc>
          <w:tcPr>
            <w:tcW w:w="7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по группе «А» получаем по формуле: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99 л/сут. на 1 чел. х К,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где: К - коэффициент урбанизации муниципального образования.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C02F5A" w:rsidTr="00C02F5A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Объекты водоотведения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водоотведения</w:t>
            </w:r>
          </w:p>
        </w:tc>
        <w:tc>
          <w:tcPr>
            <w:tcW w:w="7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по группе «А» получаем по формуле: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99 л/сут. на 1 чел. х К,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где: К - коэффициент урбанизации муниципального образования.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C02F5A" w:rsidTr="00C02F5A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автомобильных дорог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Улично-дорожная сеть</w:t>
            </w:r>
          </w:p>
        </w:tc>
        <w:tc>
          <w:tcPr>
            <w:tcW w:w="7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Плотность сети 4,0 км/км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принята в соответствии с пунктом 1.15 «Руководство по проектированию городских улиц и дорог» Центральный научно-исследовательский ипроектный институт по градостроительству (ЦНИИП Градостроительства) Госгражданстроя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по группе «Б» получаем по формуле: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 км/км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х К,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где: К - коэффициент урбанизации муниципального образования.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C02F5A" w:rsidTr="00C02F5A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Велосипедные и велопешеходные дорожки</w:t>
            </w:r>
          </w:p>
        </w:tc>
        <w:tc>
          <w:tcPr>
            <w:tcW w:w="7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C02F5A" w:rsidTr="00C02F5A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7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C02F5A" w:rsidTr="00C02F5A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Остановочный пункт</w:t>
            </w:r>
          </w:p>
        </w:tc>
        <w:tc>
          <w:tcPr>
            <w:tcW w:w="7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Пункт 7 части 1 статьи 14 Федерального закона от 6 октября 2003 года № 131-ФЗ «Об общих принципах местного самоуправления в Российской Федерации» Пешеходная доступность 30 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C02F5A" w:rsidTr="00C02F5A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физической культуры и массового спорта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7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Населенные пункты с численностью населения менее 100 человек – не нормируется.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объект на каждые 1000 человек населения населенного пункта, но не менее 1 объекта.Принят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C02F5A" w:rsidTr="00C02F5A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ритуальных услуг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Кладбище традиционного захоронения</w:t>
            </w:r>
          </w:p>
        </w:tc>
        <w:tc>
          <w:tcPr>
            <w:tcW w:w="7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III. ПРАВИЛА И ОБЛАСТЬ ПРИМЕНЕНИЯ РАСЧЕТНЫХ ПОКАЗАТЕЛЕЙ, СОДЕРЖАЩИХСЯ В ОСНОВНОЙ ЧАСТИ МЕСТНЫХ НОРМАТИВОВ ГРАДОСТРОИТЕЛЬНОГО ПРОЕКТИРОВАНИЯ МУНИЦИПАЛЬНОГО ОБРАЗОВАНИЯ «ПЕРВОАВГУСТОВСКИЙ СЕЛЬСОВЕТ»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ДМИТРИЕВСКОГО РАЙОНА КУРСКОЙ ОБЛАСТИ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Местные нормативы градостроительного проектирования (далее – МНГП) распространяются на предлагаемые к размещению на территории муниципального образования «Первоавгустовский сельсовет» Дмитриевского района Курской области объекты местного значения, относящиеся к областям, указанным в статье 23 Градостроительного кодекса Российской Федерации.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МНГП применяются при: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подготовке документов территориального планирования муниципального образования «Первоавгустовский сельсовет» Дмитриевского района Курской области: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части определения территорий, имеющих недостаточную обеспеченность нормируемыми объектами;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части планируемого размещения и реконструкции объектов местного значения по областям;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МНГП учитываются при: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подготовке документов территориального планирования муниципальных образований Курской области: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части планируемого функционального зонирования территории;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подготовке правил землепользования и застройки территорий муниципальных образований: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- 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МНГП используются для принятия решений органами местного самоуправления, физическими и юридическими лицами.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МНГП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местным нормативам градостроительного проектирования Курской области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ПЕРЕЧЕНЬ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используемых терминов и определений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пространственного развития крупного города-ядра.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 или группы муниципальных образований.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Уровень урбанизации 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местным нормативам градостроительного проектирования Курской области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ПЕРЕЧЕНЬ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нормируемых объектов местного значения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8115"/>
      </w:tblGrid>
      <w:tr w:rsidR="00C02F5A" w:rsidTr="00C02F5A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№ п/п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 нормируемых объектов местного значения</w:t>
            </w:r>
          </w:p>
        </w:tc>
      </w:tr>
      <w:tr w:rsidR="00C02F5A" w:rsidTr="00C02F5A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C02F5A" w:rsidTr="00C02F5A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электроснабжения</w:t>
            </w:r>
          </w:p>
        </w:tc>
      </w:tr>
      <w:tr w:rsidR="00C02F5A" w:rsidTr="00C02F5A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теплоснабжения</w:t>
            </w:r>
          </w:p>
        </w:tc>
      </w:tr>
      <w:tr w:rsidR="00C02F5A" w:rsidTr="00C02F5A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водоснабжения</w:t>
            </w:r>
          </w:p>
        </w:tc>
      </w:tr>
      <w:tr w:rsidR="00C02F5A" w:rsidTr="00C02F5A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сооружений водоотведения</w:t>
            </w:r>
          </w:p>
        </w:tc>
      </w:tr>
      <w:tr w:rsidR="00C02F5A" w:rsidTr="00C02F5A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Улично-дорожная сеть</w:t>
            </w:r>
          </w:p>
        </w:tc>
      </w:tr>
      <w:tr w:rsidR="00C02F5A" w:rsidTr="00C02F5A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C02F5A" w:rsidTr="00C02F5A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Остановочный пункт</w:t>
            </w:r>
          </w:p>
        </w:tc>
      </w:tr>
      <w:tr w:rsidR="00C02F5A" w:rsidTr="00C02F5A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Спортивная площадка (плоскостное спортивное сооружение, включающее игровую спортивную площадку и (или) уличные </w:t>
            </w:r>
            <w:r>
              <w:rPr>
                <w:sz w:val="15"/>
                <w:szCs w:val="15"/>
              </w:rPr>
              <w:lastRenderedPageBreak/>
              <w:t>тренажеры, турники)</w:t>
            </w:r>
          </w:p>
        </w:tc>
      </w:tr>
      <w:tr w:rsidR="00C02F5A" w:rsidTr="00C02F5A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9.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Кладбище традиционного захоронения</w:t>
            </w:r>
          </w:p>
        </w:tc>
      </w:tr>
      <w:tr w:rsidR="00C02F5A" w:rsidTr="00C02F5A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Специализированная служба по вопросам похоронного дела</w:t>
            </w:r>
          </w:p>
        </w:tc>
      </w:tr>
      <w:tr w:rsidR="00C02F5A" w:rsidTr="00C02F5A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8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Аптеки</w:t>
            </w:r>
          </w:p>
        </w:tc>
      </w:tr>
    </w:tbl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местным нормативам градостроительного проектирования Курской области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Расчетные показатели минимально допустимого количества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машино-мест для парковки легковых автомобилей на стоянках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к объектам местного значения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2"/>
        <w:gridCol w:w="7344"/>
        <w:gridCol w:w="3888"/>
        <w:gridCol w:w="2592"/>
        <w:gridCol w:w="3240"/>
        <w:gridCol w:w="3024"/>
      </w:tblGrid>
      <w:tr w:rsidR="00C02F5A" w:rsidTr="00C02F5A">
        <w:trPr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№ п/п</w:t>
            </w:r>
          </w:p>
        </w:tc>
        <w:tc>
          <w:tcPr>
            <w:tcW w:w="1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 объекта</w:t>
            </w:r>
          </w:p>
        </w:tc>
        <w:tc>
          <w:tcPr>
            <w:tcW w:w="1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Минимально допустимый уровень обеспеченности</w:t>
            </w:r>
          </w:p>
        </w:tc>
        <w:tc>
          <w:tcPr>
            <w:tcW w:w="13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Максимально допустимый уровень территориальной доступности</w:t>
            </w:r>
          </w:p>
        </w:tc>
      </w:tr>
      <w:tr w:rsidR="00C02F5A" w:rsidTr="00C02F5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Единица измерения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Величина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Величина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6</w:t>
            </w:r>
          </w:p>
        </w:tc>
      </w:tr>
      <w:tr w:rsidR="00C02F5A" w:rsidTr="00C02F5A">
        <w:trPr>
          <w:tblCellSpacing w:w="0" w:type="dxa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Открытые приобъектные стоянки у общественных зданий, учреждений, предприятий, торговых центров, вокзалов и т.д.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</w:t>
            </w:r>
          </w:p>
        </w:tc>
        <w:tc>
          <w:tcPr>
            <w:tcW w:w="4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учебно-образовательного назначения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Высшие учебные заведения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Преподавателей + студентов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+ 20</w:t>
            </w:r>
          </w:p>
        </w:tc>
        <w:tc>
          <w:tcPr>
            <w:tcW w:w="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Средние профессиональные учебные заведения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Преподавателей + студентов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+ 20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Дошкольные образовательные организации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Объекты дополнительного образования детей городского значения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Применяются только для новой застройки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2F5A" w:rsidRDefault="00C02F5A">
            <w:pPr>
              <w:rPr>
                <w:sz w:val="15"/>
                <w:szCs w:val="15"/>
              </w:rPr>
            </w:pP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Общеобразовательные школы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Применяются только для новой застройки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2.</w:t>
            </w:r>
          </w:p>
        </w:tc>
        <w:tc>
          <w:tcPr>
            <w:tcW w:w="4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административно-делового назначения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Учреждения управления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общей площади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Коммерческие деловые центры, офисные здания и помещения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общей площади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Банки и банковские учреждения (с операционным залом/ без него)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общей площади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30(65)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Научно-исследовательские и проектные институты, лаборатории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общей площади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</w:t>
            </w:r>
          </w:p>
        </w:tc>
        <w:tc>
          <w:tcPr>
            <w:tcW w:w="4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здравоохранения, спорта, досуга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Больницы, профилактории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койко-мест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+ 10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Поликлиники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посещений в смену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+ 50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Ветеринарные клиники: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с 1 ветеринарным врачом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с 2 и более ветеринарными врачами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Единовременных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кв.м общей площади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Спортивные комплексы и стадионы с трибунами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единовременных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5+25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Аквапарки, бассейны, катки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единовременных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+ 10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Музеи, выставочные комплексы, галереи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Единовременных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Детские досуговые центры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5+5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Банно-оздоровительный комплекс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Единовременных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4.</w:t>
            </w:r>
          </w:p>
        </w:tc>
        <w:tc>
          <w:tcPr>
            <w:tcW w:w="4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торгово-бытового и коммунального назначения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Развлекательные центры, цирки, кинотеатры, театры, архивы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единовременных посетителей (мест)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+ 5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общей площади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общей площади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Рестораны, кафе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общей площади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(5)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Культовые объекты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Посетителей +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общей площади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+ 50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общей площади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Общежития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проживающих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5+10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5.</w:t>
            </w:r>
          </w:p>
        </w:tc>
        <w:tc>
          <w:tcPr>
            <w:tcW w:w="4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Вокзалы всех видов транспорта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пассажиров в час пик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+ 8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Производственные и коммунально-складские здания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в двух смежных сменах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Гостиницы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Работающих + мест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+ 5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Детские дома-интернаты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Работающие, занятые в одну смену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Отдыхающие и обслуживающий персонал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Зоопарки, зверинцы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Единовременных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Кладбища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Единовременных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АЗС, АГЗС, объекты технического обслуживания автомобилей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пост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Технические этажи, технические помещения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машино-место на количество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общей площади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6.</w:t>
            </w:r>
          </w:p>
        </w:tc>
        <w:tc>
          <w:tcPr>
            <w:tcW w:w="4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Рекреационные территории и объекты отдыха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Пляжи и парки в зонах отдыха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Единовременных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Лесопарки и заповедники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Единовременных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Единовременных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Береговые базы маломерного флота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Единовременных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Санатории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Единовременных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  <w:tr w:rsidR="00C02F5A" w:rsidTr="00C02F5A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Единовременных посетителей на 1 машино-место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02F5A" w:rsidRDefault="00C02F5A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</w:tr>
    </w:tbl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02F5A" w:rsidRDefault="00C02F5A" w:rsidP="00C02F5A">
      <w:pPr>
        <w:shd w:val="clear" w:color="auto" w:fill="EEEEEE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pict>
          <v:rect id="_x0000_i1026" style="width:0;height:.75pt" o:hralign="center" o:hrstd="t" o:hr="t" fillcolor="#a0a0a0" stroked="f"/>
        </w:pic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hyperlink r:id="rId10" w:anchor="_ftnref1" w:history="1">
        <w:r>
          <w:rPr>
            <w:rStyle w:val="a3"/>
            <w:rFonts w:ascii="Tahoma" w:hAnsi="Tahoma" w:cs="Tahoma"/>
            <w:color w:val="33A6E3"/>
            <w:sz w:val="15"/>
            <w:szCs w:val="15"/>
            <w:u w:val="none"/>
          </w:rPr>
          <w:t>[1]</w:t>
        </w:r>
      </w:hyperlink>
      <w:r>
        <w:rPr>
          <w:rFonts w:ascii="Tahoma" w:hAnsi="Tahoma" w:cs="Tahoma"/>
          <w:color w:val="000000"/>
          <w:sz w:val="15"/>
          <w:szCs w:val="15"/>
        </w:rPr>
        <w:t> Расчет численности жителей осуществляется исходя из нормы обеспеченности жильем населения –      31 м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/ чел.</w:t>
      </w:r>
    </w:p>
    <w:p w:rsidR="00C02F5A" w:rsidRDefault="00C02F5A" w:rsidP="00C02F5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hyperlink r:id="rId11" w:anchor="_ftnref2" w:history="1">
        <w:r>
          <w:rPr>
            <w:rStyle w:val="a3"/>
            <w:rFonts w:ascii="Tahoma" w:hAnsi="Tahoma" w:cs="Tahoma"/>
            <w:color w:val="33A6E3"/>
            <w:sz w:val="15"/>
            <w:szCs w:val="15"/>
            <w:u w:val="none"/>
          </w:rPr>
          <w:t>[2]</w:t>
        </w:r>
      </w:hyperlink>
      <w:r>
        <w:rPr>
          <w:rFonts w:ascii="Tahoma" w:hAnsi="Tahoma" w:cs="Tahoma"/>
          <w:color w:val="000000"/>
          <w:sz w:val="15"/>
          <w:szCs w:val="15"/>
        </w:rPr>
        <w:t> 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</w:t>
      </w:r>
    </w:p>
    <w:p w:rsidR="00C02F5A" w:rsidRDefault="00C02F5A" w:rsidP="00C02F5A">
      <w:pPr>
        <w:shd w:val="clear" w:color="auto" w:fill="EEEEEE"/>
        <w:rPr>
          <w:rFonts w:ascii="Tahoma" w:hAnsi="Tahoma" w:cs="Tahoma"/>
          <w:color w:val="000000"/>
          <w:sz w:val="15"/>
          <w:szCs w:val="15"/>
        </w:rPr>
      </w:pPr>
    </w:p>
    <w:p w:rsidR="00C02F5A" w:rsidRDefault="00C02F5A" w:rsidP="00C02F5A">
      <w:pPr>
        <w:shd w:val="clear" w:color="auto" w:fill="EEEEEE"/>
        <w:jc w:val="center"/>
        <w:rPr>
          <w:rFonts w:ascii="Tahoma" w:hAnsi="Tahoma" w:cs="Tahoma"/>
          <w:color w:val="999999"/>
          <w:sz w:val="13"/>
          <w:szCs w:val="13"/>
        </w:rPr>
      </w:pPr>
      <w:r>
        <w:rPr>
          <w:rFonts w:ascii="Tahoma" w:hAnsi="Tahoma" w:cs="Tahoma"/>
          <w:color w:val="999999"/>
          <w:sz w:val="13"/>
          <w:szCs w:val="13"/>
        </w:rPr>
        <w:t>Создан: 21.09.2022 07:49. Последнее изменение: 21.09.2022 07:49.</w:t>
      </w:r>
    </w:p>
    <w:p w:rsidR="00D54D52" w:rsidRPr="00C02F5A" w:rsidRDefault="00D54D52" w:rsidP="00C02F5A"/>
    <w:sectPr w:rsidR="00D54D52" w:rsidRPr="00C02F5A" w:rsidSect="00C02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B7E"/>
    <w:multiLevelType w:val="multilevel"/>
    <w:tmpl w:val="4232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2116F"/>
    <w:multiLevelType w:val="multilevel"/>
    <w:tmpl w:val="0522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0215C"/>
    <w:multiLevelType w:val="multilevel"/>
    <w:tmpl w:val="DC82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D5300"/>
    <w:multiLevelType w:val="multilevel"/>
    <w:tmpl w:val="CE74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B1560"/>
    <w:multiLevelType w:val="multilevel"/>
    <w:tmpl w:val="4C54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137CB"/>
    <w:multiLevelType w:val="multilevel"/>
    <w:tmpl w:val="45A0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06CD1"/>
    <w:multiLevelType w:val="multilevel"/>
    <w:tmpl w:val="A6D0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326CA"/>
    <w:multiLevelType w:val="multilevel"/>
    <w:tmpl w:val="7BD6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65DA7"/>
    <w:multiLevelType w:val="multilevel"/>
    <w:tmpl w:val="36C8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E4492"/>
    <w:multiLevelType w:val="multilevel"/>
    <w:tmpl w:val="8B2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F49BC"/>
    <w:multiLevelType w:val="multilevel"/>
    <w:tmpl w:val="E316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4048B4"/>
    <w:multiLevelType w:val="multilevel"/>
    <w:tmpl w:val="EA5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2757B"/>
    <w:multiLevelType w:val="multilevel"/>
    <w:tmpl w:val="6424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A59B6"/>
    <w:multiLevelType w:val="multilevel"/>
    <w:tmpl w:val="D1E6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4A1097"/>
    <w:multiLevelType w:val="multilevel"/>
    <w:tmpl w:val="60F6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5C42EF"/>
    <w:multiLevelType w:val="multilevel"/>
    <w:tmpl w:val="3734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74FE5"/>
    <w:multiLevelType w:val="multilevel"/>
    <w:tmpl w:val="7B80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B4D21"/>
    <w:multiLevelType w:val="multilevel"/>
    <w:tmpl w:val="45F4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811F3"/>
    <w:multiLevelType w:val="multilevel"/>
    <w:tmpl w:val="A69C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701186"/>
    <w:multiLevelType w:val="multilevel"/>
    <w:tmpl w:val="FA22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36285F"/>
    <w:multiLevelType w:val="multilevel"/>
    <w:tmpl w:val="0688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7E46A7"/>
    <w:multiLevelType w:val="multilevel"/>
    <w:tmpl w:val="5A08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A11A7"/>
    <w:multiLevelType w:val="multilevel"/>
    <w:tmpl w:val="DAFA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D12633"/>
    <w:multiLevelType w:val="multilevel"/>
    <w:tmpl w:val="6336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AF7442"/>
    <w:multiLevelType w:val="multilevel"/>
    <w:tmpl w:val="B9AE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2D38D7"/>
    <w:multiLevelType w:val="multilevel"/>
    <w:tmpl w:val="AA40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48148C"/>
    <w:multiLevelType w:val="multilevel"/>
    <w:tmpl w:val="07E4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CC71F6"/>
    <w:multiLevelType w:val="multilevel"/>
    <w:tmpl w:val="866C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946F33"/>
    <w:multiLevelType w:val="multilevel"/>
    <w:tmpl w:val="8B2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F64AE"/>
    <w:multiLevelType w:val="multilevel"/>
    <w:tmpl w:val="80B0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A84D7C"/>
    <w:multiLevelType w:val="multilevel"/>
    <w:tmpl w:val="B428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3"/>
  </w:num>
  <w:num w:numId="3">
    <w:abstractNumId w:val="9"/>
  </w:num>
  <w:num w:numId="4">
    <w:abstractNumId w:val="14"/>
  </w:num>
  <w:num w:numId="5">
    <w:abstractNumId w:val="4"/>
  </w:num>
  <w:num w:numId="6">
    <w:abstractNumId w:val="28"/>
  </w:num>
  <w:num w:numId="7">
    <w:abstractNumId w:val="6"/>
  </w:num>
  <w:num w:numId="8">
    <w:abstractNumId w:val="11"/>
  </w:num>
  <w:num w:numId="9">
    <w:abstractNumId w:val="17"/>
  </w:num>
  <w:num w:numId="10">
    <w:abstractNumId w:val="26"/>
  </w:num>
  <w:num w:numId="11">
    <w:abstractNumId w:val="29"/>
  </w:num>
  <w:num w:numId="12">
    <w:abstractNumId w:val="27"/>
  </w:num>
  <w:num w:numId="13">
    <w:abstractNumId w:val="19"/>
  </w:num>
  <w:num w:numId="14">
    <w:abstractNumId w:val="8"/>
  </w:num>
  <w:num w:numId="15">
    <w:abstractNumId w:val="7"/>
  </w:num>
  <w:num w:numId="16">
    <w:abstractNumId w:val="30"/>
  </w:num>
  <w:num w:numId="17">
    <w:abstractNumId w:val="24"/>
  </w:num>
  <w:num w:numId="18">
    <w:abstractNumId w:val="3"/>
  </w:num>
  <w:num w:numId="19">
    <w:abstractNumId w:val="2"/>
  </w:num>
  <w:num w:numId="20">
    <w:abstractNumId w:val="13"/>
  </w:num>
  <w:num w:numId="21">
    <w:abstractNumId w:val="5"/>
  </w:num>
  <w:num w:numId="22">
    <w:abstractNumId w:val="10"/>
  </w:num>
  <w:num w:numId="23">
    <w:abstractNumId w:val="1"/>
  </w:num>
  <w:num w:numId="24">
    <w:abstractNumId w:val="21"/>
  </w:num>
  <w:num w:numId="25">
    <w:abstractNumId w:val="12"/>
  </w:num>
  <w:num w:numId="26">
    <w:abstractNumId w:val="20"/>
  </w:num>
  <w:num w:numId="27">
    <w:abstractNumId w:val="22"/>
  </w:num>
  <w:num w:numId="28">
    <w:abstractNumId w:val="25"/>
  </w:num>
  <w:num w:numId="29">
    <w:abstractNumId w:val="18"/>
  </w:num>
  <w:num w:numId="30">
    <w:abstractNumId w:val="0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8B385C"/>
    <w:rsid w:val="000D1126"/>
    <w:rsid w:val="000D4385"/>
    <w:rsid w:val="001632DF"/>
    <w:rsid w:val="001C3389"/>
    <w:rsid w:val="00282272"/>
    <w:rsid w:val="0029045E"/>
    <w:rsid w:val="003073F1"/>
    <w:rsid w:val="00333142"/>
    <w:rsid w:val="003617E1"/>
    <w:rsid w:val="00400F54"/>
    <w:rsid w:val="00425951"/>
    <w:rsid w:val="00507D80"/>
    <w:rsid w:val="00525F13"/>
    <w:rsid w:val="00565347"/>
    <w:rsid w:val="005975DF"/>
    <w:rsid w:val="006D2C1C"/>
    <w:rsid w:val="006E0477"/>
    <w:rsid w:val="0078007B"/>
    <w:rsid w:val="007876AE"/>
    <w:rsid w:val="00851589"/>
    <w:rsid w:val="00855D0C"/>
    <w:rsid w:val="0085629C"/>
    <w:rsid w:val="008B385C"/>
    <w:rsid w:val="00967E7E"/>
    <w:rsid w:val="00A00E5B"/>
    <w:rsid w:val="00B94849"/>
    <w:rsid w:val="00C02F5A"/>
    <w:rsid w:val="00C048AB"/>
    <w:rsid w:val="00C33E67"/>
    <w:rsid w:val="00C82658"/>
    <w:rsid w:val="00CB57B8"/>
    <w:rsid w:val="00D54D52"/>
    <w:rsid w:val="00D801F8"/>
    <w:rsid w:val="00DA233B"/>
    <w:rsid w:val="00E00BBA"/>
    <w:rsid w:val="00F3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E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3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3E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E6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8007B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8007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4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8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03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3043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119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278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351">
          <w:marLeft w:val="3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3" w:color="94A1B0"/>
                <w:bottom w:val="none" w:sz="0" w:space="0" w:color="auto"/>
                <w:right w:val="single" w:sz="4" w:space="13" w:color="94A1B0"/>
              </w:divBdr>
              <w:divsChild>
                <w:div w:id="944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477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7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3484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B3%D1%80%D0%B0%D0%B4%D0%BE%D1%81%D1%82%D1%80%D0%BE%D0%B8%D1%82%D0%B5%D0%BB%D1%8C%D0%BD%D0%BE%D0%B5%20%D0%BF%D1%80%D0%BE%D0%B5%D0%BA%D1%82%D0%B8%D1%80%D0%BE%D0%B2%D0%B0%D0%BD%D0%B8%D0%B5%20%D0%BF%D1%80%D0%BE%D0%B5%D0%BA%D1%8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avgust.rkursk.ru/index.php?mun_obr=78&amp;sub_menus_id=32012&amp;print=1&amp;id_mat=488128" TargetMode="External"/><Relationship Id="rId11" Type="http://schemas.openxmlformats.org/officeDocument/2006/relationships/hyperlink" Target="file:///C:\Users\Eduard\Downloads\%D0%B3%D1%80%D0%B0%D0%B4%D0%BE%D1%81%D1%82%D1%80%D0%BE%D0%B8%D1%82%D0%B5%D0%BB%D1%8C%D0%BD%D0%BE%D0%B5%20%D0%BF%D1%80%D0%BE%D0%B5%D0%BA%D1%82%D0%B8%D1%80%D0%BE%D0%B2%D0%B0%D0%BD%D0%B8%D0%B5%20%D0%BF%D1%80%D0%BE%D0%B5%D0%BA%D1%82.docx" TargetMode="External"/><Relationship Id="rId5" Type="http://schemas.openxmlformats.org/officeDocument/2006/relationships/hyperlink" Target="https://1avgust.rkursk.ru/index.php?num_str=1&amp;mun_obr=78&amp;sub_menus_id=32012" TargetMode="External"/><Relationship Id="rId10" Type="http://schemas.openxmlformats.org/officeDocument/2006/relationships/hyperlink" Target="file:///C:\Users\Eduard\Downloads\%D0%B3%D1%80%D0%B0%D0%B4%D0%BE%D1%81%D1%82%D1%80%D0%BE%D0%B8%D1%82%D0%B5%D0%BB%D1%8C%D0%BD%D0%BE%D0%B5%20%D0%BF%D1%80%D0%BE%D0%B5%D0%BA%D1%82%D0%B8%D1%80%D0%BE%D0%B2%D0%B0%D0%BD%D0%B8%D0%B5%20%D0%BF%D1%80%D0%BE%D0%B5%D0%BA%D1%8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%D0%B3%D1%80%D0%B0%D0%B4%D0%BE%D1%81%D1%82%D1%80%D0%BE%D0%B8%D1%82%D0%B5%D0%BB%D1%8C%D0%BD%D0%BE%D0%B5%20%D0%BF%D1%80%D0%BE%D0%B5%D0%BA%D1%82%D0%B8%D1%80%D0%BE%D0%B2%D0%B0%D0%BD%D0%B8%D0%B5%20%D0%BF%D1%80%D0%BE%D0%B5%D0%BA%D1%8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8204</Words>
  <Characters>46769</Characters>
  <Application>Microsoft Office Word</Application>
  <DocSecurity>0</DocSecurity>
  <Lines>389</Lines>
  <Paragraphs>109</Paragraphs>
  <ScaleCrop>false</ScaleCrop>
  <Company>SPecialiST RePack</Company>
  <LinksUpToDate>false</LinksUpToDate>
  <CharactersWithSpaces>54864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33</cp:revision>
  <dcterms:created xsi:type="dcterms:W3CDTF">2024-05-20T13:16:00Z</dcterms:created>
  <dcterms:modified xsi:type="dcterms:W3CDTF">2024-05-20T14:09:00Z</dcterms:modified>
</cp:coreProperties>
</file>