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6D" w:rsidRDefault="00262D6D" w:rsidP="00262D6D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262D6D" w:rsidRDefault="00262D6D" w:rsidP="00262D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10 октября года № 138 п. Первоавгустовский Об утверждении Программы «Комплексного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10 октября года № 138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 Программы «Комплексного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Генерального плана муниципального образования «Первоавгустовский сельсовет» Дмитриевского района Курской области утведжнен Решением Собрания депутатов Первоавгустовского сельсовета Дмитриевского района Курской области от 30 декабря 2013 г. № 185, администрация Первоавгустовского сельсовета Дмитриевского района Курской области ПОСТАНОВЛЯЕТ: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Программу «Комплексного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Разместить Программу «Комплексного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 на официальном сайте Администрации Первоавгустовского сельсовета Дмитриевского района.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 Постановление вступает в силу со дня его подписания.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 В.М. Сафонов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Утверждена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от 10.10.года № 138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Программа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комплексного развития социальной инфраструктуры муниципального образования           «Первоавгустовский сельсовет»                          Дмитриевского района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Курской области на 2016- 2032 годы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1. Паспорт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Программы комплексного развития социальной инфраструктуры муниципального образования «Первоавгустовский сельсовет» Дмитриевского района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Курской области на 2016-2032 годы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0"/>
        <w:gridCol w:w="7763"/>
      </w:tblGrid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Программа 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 (далее - Программа)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Основание для разработки Программы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Генеральный план муниципального образования «Первоавгустовский сельсовет» Дмитриевского района Курской области утведжнен Решением Собрания депутатов Первоавгустовского сельсовета Дмитриевского района Курской области от 30 декабря 2013 г. № 185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Заказчик Программы     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Разработчик Программы  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 сельсовета Дмитриевского района Курской области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Цель Программы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обеспечение развития социальной инфраструктуры муниципального образования «Первоавгустовский сельсовет» Дмитриевского района Курской области и для закрепления населения, повышения уровня его жизни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Задачи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обеспечить доступность объектов социальной инфраструктуры;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обеспечить сбалансированное, перспективное развитие социальной инфраструктуры;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обеспечить достижение расчетного уровня обеспеченности населения услугами;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обеспечить эффективность функционирования действующей социальной инфраструктуры.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Важнейшие целевые показатели 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обеспечение доступности объектов социальной инфраструктуры;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 сбалансированное, перспективное развитие социальной инфраструктуры;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повышение расчетного уровня обеспеченности населения услугами;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 – 2032 годы 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Объемы и источники финансирования Программы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объем  финансирования Программы составит 1,2 млн. рублей, в т.ч.: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 год  –   0;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 год  – 0 млн. рублей;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 год  –   0,5 млн. рублей;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 год  –  0,0  млн. рублей;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 год  –   0,0 млн. рублей;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 – 2032 годы  –  0,7   млн. рублей;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Источник финансирования - средства бюджетов всех уровней,  инвестиции.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2.</w:t>
      </w:r>
      <w:r>
        <w:rPr>
          <w:rStyle w:val="a9"/>
          <w:rFonts w:ascii="Tahoma" w:hAnsi="Tahoma" w:cs="Tahoma"/>
          <w:b/>
          <w:bCs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Характеристика существующего состояния социальной инфраструктуры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2.1. Описание социально-экономического состояния поселения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Первоавгустовский сельсовет расположен в северной части Дмитриевского района Курской области. На севере он граничит с Орловской областью, на востоке с Железногорским районом, на юге с Дерюгинским, Крупецким и Поповкинским сельсоветами, на западе с Бряноской областью Утвержден  в статусе муниципального образования Законом Курской области № 26-ЗКО от 26.04.2010 г.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Площадь Первоавгустовского сельсовета равна 262,16 км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>, что составляет 20,6% площади Дмитриевского района. Численность населения сельсовета на 01.01.2016г. составила 2025 человек, средняя плотность населения – 8,2 чел./В.км.           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состав Первоавгустовского сельсовета входят 20 населенных пунктов, в том числе 3 без населения. Административным центром муниципального образования является п. Первоавгустовский с численностью населения  1486 человек.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                                                                                                         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Сведения о населении муниципального образования (по населенным пунктам)</w:t>
      </w:r>
    </w:p>
    <w:tbl>
      <w:tblPr>
        <w:tblW w:w="117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3480"/>
        <w:gridCol w:w="2638"/>
        <w:gridCol w:w="2398"/>
        <w:gridCol w:w="2637"/>
      </w:tblGrid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№ 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Населенный пункт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Удален</w:t>
            </w:r>
            <w:r>
              <w:rPr>
                <w:rStyle w:val="a5"/>
                <w:sz w:val="12"/>
                <w:szCs w:val="12"/>
              </w:rPr>
              <w:softHyphen/>
              <w:t>ность от центра МО, км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Число </w:t>
            </w:r>
          </w:p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дворов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Общая </w:t>
            </w:r>
          </w:p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числен</w:t>
            </w:r>
            <w:r>
              <w:rPr>
                <w:rStyle w:val="a5"/>
                <w:sz w:val="12"/>
                <w:szCs w:val="12"/>
              </w:rPr>
              <w:softHyphen/>
              <w:t>ность, чел. 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1486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Пристанционный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Чуриловский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Г-Кузнецовка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Чемерки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Лесной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Пп Лобановский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Кубань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Богословка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Кошкино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Партизанский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262D6D" w:rsidTr="00262D6D">
        <w:trPr>
          <w:tblCellSpacing w:w="0" w:type="dxa"/>
        </w:trPr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1005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2025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2010 году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Первоавгустовский сельсовет был преобразован путем объединения граничащих между собой муниципальных образований: муниципальное образование «Первоавгустовский сельсовет»  Дмитриевского района Курской области, муниципальное образование «Бычковский сельсовет» Дмитриевского района Курской области, муниципальное образование «Черневский  сельсовет» Дмитриевского района, муниципальное  образование «Неварский сельсовет» Дмитриевского района Курской области  в муниципальное образование «Первоавгустовский  сельсовет» Дмитриевского района Курской области.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2.2. Технико-экономические параметры существующих объектов социальной инфраструктуры поселения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Система социально обслуживания муниципального образования «Первоавгустовский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3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Обеспеченность населения основными учреждениями социального и культурно-бытового обслуживания по состоянию на 01.01.2016 г.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4543"/>
        <w:gridCol w:w="1426"/>
        <w:gridCol w:w="1274"/>
        <w:gridCol w:w="2377"/>
        <w:gridCol w:w="1898"/>
      </w:tblGrid>
      <w:tr w:rsidR="00262D6D" w:rsidTr="00262D6D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  учреждений обслуживания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Единица 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Проектная емкость  существующих сохраняемых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Количество объектов, единиц</w:t>
            </w:r>
          </w:p>
        </w:tc>
      </w:tr>
      <w:tr w:rsidR="00262D6D" w:rsidTr="00262D6D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% обеспеченности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color w:val="FFFFFF"/>
                <w:sz w:val="12"/>
                <w:szCs w:val="12"/>
              </w:rPr>
            </w:pP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Дошкольные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Общеобразовательные школы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Спортивные залы при школах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площ. зала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Плоскостные спортивные сооружения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Клубы сельских поселений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Киноустановки (в ДК)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Сельские библиотеки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 единиц хранения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Магазины,в том числе: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 торг.площ.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магазины продовольственных товаров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 торг.площ.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Общедоступные столовые, закусочные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/мест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/мест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Отделения связи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в целом соответствует нормативным требованиям (СП 42.13330.2011).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  <w:u w:val="single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Образование и воспитание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Структура образовательных учреждений Первоавгустовского сельсовета представлена учреждениями общего образования.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4 - Перечень и характеристика объектов общего  образования сельсовета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2203"/>
        <w:gridCol w:w="1714"/>
        <w:gridCol w:w="2570"/>
        <w:gridCol w:w="1469"/>
        <w:gridCol w:w="1590"/>
        <w:gridCol w:w="1957"/>
      </w:tblGrid>
      <w:tr w:rsidR="00262D6D" w:rsidTr="00262D6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№ п/п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Почтовый адрес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руководителя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находится в собственности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Штатная численность сотрудников, осн./технич.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Численность учащихся, чел.</w:t>
            </w:r>
          </w:p>
        </w:tc>
      </w:tr>
      <w:tr w:rsidR="00262D6D" w:rsidTr="00262D6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МКОУ «Первоавгустовская средняя общеобразовательная школа»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 Курская обл.Дмитриевский район, с.Первоавгустовский, ул.Пионерская, д.5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Шалыгина Светлана Петровна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Дмитриевский районный отдел образования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18/21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</w:t>
            </w:r>
          </w:p>
        </w:tc>
      </w:tr>
      <w:tr w:rsidR="00262D6D" w:rsidTr="00262D6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МКОУ»Неварская основная общеобразовательная школа»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Неварь,д.34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Готилова Любовь Дмитриевна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Дмитриевский отдел образования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8/4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262D6D" w:rsidTr="00262D6D">
        <w:trPr>
          <w:tblCellSpacing w:w="0" w:type="dxa"/>
        </w:trPr>
        <w:tc>
          <w:tcPr>
            <w:tcW w:w="28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26/25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141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b/>
          <w:bCs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Детские дошкольные учреждения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2203"/>
        <w:gridCol w:w="1714"/>
        <w:gridCol w:w="2570"/>
        <w:gridCol w:w="1469"/>
        <w:gridCol w:w="1590"/>
        <w:gridCol w:w="1957"/>
      </w:tblGrid>
      <w:tr w:rsidR="00262D6D" w:rsidTr="00262D6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Почтовый адрес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руководителя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находится в собственности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Штатная численность сотрудников, осн./технич.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Численность учащихся, чел.</w:t>
            </w:r>
          </w:p>
        </w:tc>
      </w:tr>
      <w:tr w:rsidR="00262D6D" w:rsidTr="00262D6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МКДОУ «Детсад №7 п. Первоавгустовский» Дмитриевского района Курской области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 Курская обл.Дмитриевский район, с.Первоавгустовский, ул.Пионерская, д.5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Коновалова Антонина Владимировна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Дмитриевский районный отдел образования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3/3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262D6D" w:rsidTr="00262D6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МКДОУ «Детсад с. Неварь» Дмитриевского района Курской области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Неварь,д.34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Андрюсева Ирина Геннадьевна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Дмитриевский районный отдел образования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3/0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62D6D" w:rsidTr="00262D6D">
        <w:trPr>
          <w:tblCellSpacing w:w="0" w:type="dxa"/>
        </w:trPr>
        <w:tc>
          <w:tcPr>
            <w:tcW w:w="28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6/3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b/>
          <w:bCs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b/>
          <w:bCs/>
          <w:color w:val="000000"/>
          <w:sz w:val="12"/>
          <w:szCs w:val="12"/>
        </w:rPr>
        <w:t>Общеобразовательные школы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сельсовете действуют две школы  – Первоавгустовская средняя общеобразовательная школа в п. Первоавгустовский. Её вместимость  составляет в сумме 650 мест. Посещает школу 127 ученика. Школа работает в одну смену, для учеников из отдаленных населенных пунктов действует система «Школьный автобус», Неварская основная общеобразовательная школа в п. Неварь. Её вместимость составляет 50 учеников. Посещает школу 14 учеников. Школа работает в одну смену.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 Здравоохранение и социальное обеспечение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Система здравоохранения Первоавгустовского сельсовета представлена двумя фельдшерско-акушерскими пунктами, расположенными в с.Бычки,      с. Неварь.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Первую медицинскую помощь население Первоавгустовского сельсовета получает в фельдшерско-акушерских пунктах, стационарную и профильную медицинскую помощь население получает в районной и областной больницах.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5 - Перечень учреждений здравоохранения сельсовета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2624"/>
        <w:gridCol w:w="2749"/>
        <w:gridCol w:w="2375"/>
        <w:gridCol w:w="1873"/>
        <w:gridCol w:w="1749"/>
      </w:tblGrid>
      <w:tr w:rsidR="00262D6D" w:rsidTr="00262D6D">
        <w:trPr>
          <w:tblHeader/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Наименование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Почтовый адрес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Ф.И.О. руководителя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Здание находится в собственности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Штатная численность сотрудников, осн./технич.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 w:rsidP="00262D6D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Фельдшерско-акушерский пункт с.Бычки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с.Бычки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Ротова Валентина Владимировна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Дмитриевская ЦРБ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1/1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 w:rsidP="00262D6D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Фельдшерско-акушерский пункт                с. Неварь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Тимонова Вера Петровна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Дмитриевская ЦРБ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1/0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6 - Характеристика учреждений здравоохранения сельсовета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8"/>
        <w:gridCol w:w="2180"/>
        <w:gridCol w:w="2665"/>
      </w:tblGrid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Показатели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Ед. измерения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Значение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учреждений здравоохранения (отделений)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фельдшерско-акушерские пункты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муниципальных учреждений (отделений) здравоохранения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фельдшерско-акушерские пункты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Численность среднего медицинского персонала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учреждения здравоохранения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человек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262D6D" w:rsidTr="00262D6D">
        <w:trPr>
          <w:tblCellSpacing w:w="0" w:type="dxa"/>
        </w:trPr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учреждения здравоохранения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человек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Объекты социальной защиты населения на территории сельсовета отсутствуют.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Спортивные сооружения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Первоавгустовского сельсовета имеется два спортивных объекта для занятия физкультурой и спортом, в том числе одно плоскостное спортивное сооружение (спортивных площадок) и спортивный зал.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Учреждения культуры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7 - Перечень и характеристика учреждений культуры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3092"/>
        <w:gridCol w:w="2101"/>
        <w:gridCol w:w="1979"/>
        <w:gridCol w:w="2101"/>
        <w:gridCol w:w="2101"/>
      </w:tblGrid>
      <w:tr w:rsidR="00262D6D" w:rsidTr="00262D6D">
        <w:trPr>
          <w:tblHeader/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Наименование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Почтовый адрес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Здание находится в собственности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Штатная численность сотрудников, осн./технич.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rStyle w:val="a5"/>
                <w:color w:val="FFFFFF"/>
                <w:sz w:val="12"/>
                <w:szCs w:val="12"/>
              </w:rPr>
              <w:t>Проектная емкость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 w:rsidP="00262D6D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МКУК  «Первоавгустовский сельский дом культуры»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 Курская обл. Дмитриевский район, п. Первоавгустовский, ул.Рабочая,9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сельсовета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3/2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 мест</w:t>
            </w:r>
          </w:p>
        </w:tc>
      </w:tr>
      <w:tr w:rsidR="00262D6D" w:rsidTr="00262D6D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 w:rsidP="00262D6D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МКУК «Неварский сельский дом культуры»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  сельсовета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1/1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мест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В настоящее время к учреждениям культуры муниципального образования «Первоавгустовский сельсовет» относятся два клубных учреждения  и две  библиотеки.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целом потребность населения сельсовета в объектах культурно-досугового типа и библиотеках удовлетворена.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2.3. Прогнозируемый спрос на услуги социальной инфраструктуры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генерального плана МО   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2016-2032 годов будет наблюдаться повышенный спрос на социальные услуги.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b/>
          <w:bCs/>
          <w:color w:val="000000"/>
          <w:sz w:val="12"/>
          <w:szCs w:val="12"/>
        </w:rPr>
        <w:br/>
      </w: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</w:t>
      </w:r>
      <w:r>
        <w:rPr>
          <w:rFonts w:ascii="Tahoma" w:hAnsi="Tahoma" w:cs="Tahoma"/>
          <w:color w:val="000000"/>
          <w:sz w:val="12"/>
          <w:szCs w:val="12"/>
        </w:rPr>
        <w:t>По состоянию на 01.01.2016 г.  Первоавгустовский  сельсовет Дмитриевского района Курской области имеет  всю необходимую нормативно-правовую базу, для функционирования и развития социальной инфраструктуры поселения.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Генеральный план муниципального образования «Первоавгустовский сельсовет» Дмитриевского района Курской области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 Собрания депутатов Первоавгустовского сельсовета Дмитриевского района Курской области от 30 декабря 2013 г. №185 «Об утверждении Генерального плана МО «Первоавгустовский сельсовет» Дмитриевского района Курской области»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 Собрания депутатов Первоавгустовского сельсовета Дмитриевского района Курской области от 27 декабря 2011 г. № 102«Об утверждении правил землепользования и застройки муниципальном образовании «Первоавгустовский сельсовет» Дмитриевского района Курской области»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 администрации Первоавгустовского сельсовета Дмитриевского района Курской области от 26 декабря 2014 года № 143 «Об утверждении муниципальной программы «Устойчивое развитие территории Первоавгустовского сельсовета Дмитриевского района Курской области на 2014-2017 годы и на период до 2020 года»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</w:t>
      </w:r>
    </w:p>
    <w:p w:rsidR="00262D6D" w:rsidRDefault="00262D6D" w:rsidP="00262D6D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Текущий ремонт  МКУК «Неварский СДК»</w:t>
      </w:r>
    </w:p>
    <w:p w:rsidR="00262D6D" w:rsidRDefault="00262D6D" w:rsidP="00262D6D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Текущий ремонт МКУК «Первоавгустовский СДК»</w:t>
      </w:r>
    </w:p>
    <w:p w:rsidR="00262D6D" w:rsidRDefault="00262D6D" w:rsidP="00262D6D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Ремонт памятников.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Запланированный объем средств на реализацию Программы на 2016 - 2032 годы составляет 1,2 млн. рублей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Финансово-экономическое обоснование программы на 2016 - 2032 годы будет производиться ежегодно, по мере уточнения утверждения инвестиционных программ и объемов финансирования.</w:t>
      </w:r>
    </w:p>
    <w:p w:rsidR="00262D6D" w:rsidRDefault="00262D6D" w:rsidP="00262D6D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ходе реализации программы поселением будут достигнуты следующие целевые показатели: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отремонтировано зданий учреждений культуры -  2 шт.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- отремонтировано памятников -  8 шт.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8</w:t>
      </w:r>
    </w:p>
    <w:p w:rsidR="00262D6D" w:rsidRDefault="00262D6D" w:rsidP="00262D6D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Перечень мероприятий (инвестиционных проектов) по проектированию, строительству, реконструкции объектов социальной инфраструктуры  2016– 2032 годы </w:t>
      </w:r>
    </w:p>
    <w:p w:rsidR="00262D6D" w:rsidRDefault="00262D6D" w:rsidP="00262D6D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1248"/>
        <w:gridCol w:w="1588"/>
        <w:gridCol w:w="1744"/>
        <w:gridCol w:w="755"/>
        <w:gridCol w:w="787"/>
        <w:gridCol w:w="994"/>
        <w:gridCol w:w="681"/>
        <w:gridCol w:w="795"/>
        <w:gridCol w:w="1385"/>
      </w:tblGrid>
      <w:tr w:rsidR="00262D6D" w:rsidTr="00262D6D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№</w:t>
            </w:r>
          </w:p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п/п</w:t>
            </w:r>
          </w:p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</w:t>
            </w:r>
          </w:p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Мероприятия (проекта)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Тип (реконструкция, проектирование, строительство)</w:t>
            </w:r>
          </w:p>
        </w:tc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Характеристика мероприятия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Затраты на реализацию проекта (млн. руб.)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Срок реализации проекта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Ожидаемый эффект от реализации проекта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Срок получения эффекта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Срок окупаемости проекта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Предполагаемый источник финансирования</w:t>
            </w:r>
          </w:p>
        </w:tc>
      </w:tr>
      <w:tr w:rsidR="00262D6D" w:rsidTr="00262D6D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Текущий ремонт МКУК«Неварский СДК»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</w:t>
            </w:r>
          </w:p>
        </w:tc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Перекрытие кровли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качества социальных услуг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Местный бюджет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Спонсорская помощь</w:t>
            </w:r>
          </w:p>
        </w:tc>
      </w:tr>
      <w:tr w:rsidR="00262D6D" w:rsidTr="00262D6D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Текущий ремонт  «Первоавгустовский СДК»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</w:t>
            </w:r>
          </w:p>
        </w:tc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Перекрытие кровли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качества социальных услуг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Местный бюджет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Спонсорская помощь</w:t>
            </w:r>
          </w:p>
        </w:tc>
      </w:tr>
      <w:tr w:rsidR="00262D6D" w:rsidTr="00262D6D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 памятников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</w:t>
            </w:r>
          </w:p>
        </w:tc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Штукатурка, покраска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качества социальных услуг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Местный бюджет</w:t>
            </w:r>
          </w:p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Спонсорская помощь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</w:p>
    <w:p w:rsidR="00262D6D" w:rsidRDefault="00262D6D" w:rsidP="00262D6D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262D6D" w:rsidRDefault="00262D6D" w:rsidP="00262D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более качественного функционирования  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 План-график мероприятий Программы и целевые показатели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5"/>
        <w:gridCol w:w="4783"/>
        <w:gridCol w:w="895"/>
        <w:gridCol w:w="778"/>
        <w:gridCol w:w="1001"/>
        <w:gridCol w:w="895"/>
        <w:gridCol w:w="1119"/>
        <w:gridCol w:w="1767"/>
      </w:tblGrid>
      <w:tr w:rsidR="00262D6D" w:rsidTr="00262D6D">
        <w:trPr>
          <w:tblCellSpacing w:w="0" w:type="dxa"/>
        </w:trPr>
        <w:tc>
          <w:tcPr>
            <w:tcW w:w="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№ п/п</w:t>
            </w:r>
          </w:p>
        </w:tc>
        <w:tc>
          <w:tcPr>
            <w:tcW w:w="4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4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Финансирование по годам, млн.рублей</w:t>
            </w:r>
          </w:p>
        </w:tc>
      </w:tr>
      <w:tr w:rsidR="00262D6D" w:rsidTr="00262D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62D6D" w:rsidRDefault="00262D6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2016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2018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2019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2021-2034</w:t>
            </w:r>
          </w:p>
        </w:tc>
      </w:tr>
      <w:tr w:rsidR="00262D6D" w:rsidTr="00262D6D">
        <w:trPr>
          <w:tblCellSpacing w:w="0" w:type="dxa"/>
        </w:trPr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Текущий ремонт МКУК«Неварский СДК»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262D6D" w:rsidTr="00262D6D">
        <w:trPr>
          <w:tblCellSpacing w:w="0" w:type="dxa"/>
        </w:trPr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Текущий ремонт  МКУК «Первоавгустовский» СДК»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</w:t>
            </w:r>
          </w:p>
        </w:tc>
      </w:tr>
      <w:tr w:rsidR="00262D6D" w:rsidTr="00262D6D">
        <w:trPr>
          <w:tblCellSpacing w:w="0" w:type="dxa"/>
        </w:trPr>
        <w:tc>
          <w:tcPr>
            <w:tcW w:w="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 памятников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2D6D" w:rsidRDefault="00262D6D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</w:tr>
    </w:tbl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62D6D" w:rsidRDefault="00262D6D" w:rsidP="00262D6D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262D6D" w:rsidRDefault="00262D6D" w:rsidP="00262D6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18.10.2016 07:56. Последнее изменение: 18.10.2016 07:56.</w:t>
      </w:r>
    </w:p>
    <w:p w:rsidR="00262D6D" w:rsidRDefault="00262D6D" w:rsidP="00262D6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2282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262D6D" w:rsidTr="00262D6D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262D6D" w:rsidRDefault="00262D6D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62D6D" w:rsidRDefault="00262D6D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262D6D" w:rsidRDefault="00A3080A" w:rsidP="00262D6D"/>
    <w:sectPr w:rsidR="00A3080A" w:rsidRPr="00262D6D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FA3"/>
    <w:multiLevelType w:val="multilevel"/>
    <w:tmpl w:val="BD0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859E5"/>
    <w:multiLevelType w:val="multilevel"/>
    <w:tmpl w:val="BD3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B66C4"/>
    <w:multiLevelType w:val="multilevel"/>
    <w:tmpl w:val="542A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A63CA"/>
    <w:multiLevelType w:val="multilevel"/>
    <w:tmpl w:val="174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54AC6"/>
    <w:multiLevelType w:val="multilevel"/>
    <w:tmpl w:val="ABCC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E12AC"/>
    <w:multiLevelType w:val="multilevel"/>
    <w:tmpl w:val="1618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328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8EFC-E415-4A16-9BE2-C2E40D2C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7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157</cp:revision>
  <cp:lastPrinted>2022-12-12T07:43:00Z</cp:lastPrinted>
  <dcterms:created xsi:type="dcterms:W3CDTF">2022-12-12T07:34:00Z</dcterms:created>
  <dcterms:modified xsi:type="dcterms:W3CDTF">2024-05-22T18:56:00Z</dcterms:modified>
</cp:coreProperties>
</file>